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Title"/>
        <w:jc w:val="center"/>
      </w:pPr>
      <w:r>
        <w:t>2026 年 IATF 16949 常见不符合项</w:t>
        <w:br/>
        <w:t>及整改案例</w:t>
      </w:r>
    </w:p>
    <w:p/>
    <w:p>
      <w:pPr>
        <w:jc w:val="center"/>
      </w:pPr>
      <w:r>
        <w:rPr>
          <w:sz w:val="24"/>
        </w:rPr>
        <w:t>Common Nonconformities and Rectification Cases</w:t>
      </w:r>
    </w:p>
    <w:p/>
    <w:p/>
    <w:p/>
    <w:p/>
    <w:p/>
    <w:p/>
    <w:p/>
    <w:p/>
    <w:p>
      <w:pPr>
        <w:jc w:val="center"/>
      </w:pPr>
      <w:r>
        <w:rPr>
          <w:sz w:val="22"/>
        </w:rPr>
        <w:t>编制部门：质量部</w:t>
      </w:r>
    </w:p>
    <w:p>
      <w:pPr>
        <w:jc w:val="center"/>
      </w:pPr>
      <w:r>
        <w:rPr>
          <w:sz w:val="22"/>
        </w:rPr>
        <w:t>编制日期：2026 年 03 月</w:t>
      </w:r>
    </w:p>
    <w:p>
      <w:pPr>
        <w:jc w:val="center"/>
      </w:pPr>
      <w:r>
        <w:rPr>
          <w:b/>
          <w:sz w:val="22"/>
        </w:rPr>
        <w:t>版    本：A/0</w:t>
      </w:r>
    </w:p>
    <w:p>
      <w:r>
        <w:br w:type="page"/>
      </w:r>
    </w:p>
    <w:p>
      <w:pPr>
        <w:pStyle w:val="Heading1"/>
      </w:pPr>
      <w:r>
        <w:t>目        录</w:t>
      </w:r>
    </w:p>
    <w:p>
      <w:r>
        <w:t>一、概述</w:t>
      </w:r>
    </w:p>
    <w:p>
      <w:r>
        <w:t>二、第 4 章 组织环境</w:t>
      </w:r>
    </w:p>
    <w:p>
      <w:r>
        <w:t>三、第 5 章 领导作用</w:t>
      </w:r>
    </w:p>
    <w:p>
      <w:r>
        <w:t>四、第 6 章 策划</w:t>
      </w:r>
    </w:p>
    <w:p>
      <w:r>
        <w:t>五、第 7 章 支持</w:t>
      </w:r>
    </w:p>
    <w:p>
      <w:r>
        <w:t>六、第 8 章 运行</w:t>
      </w:r>
    </w:p>
    <w:p>
      <w:r>
        <w:t>七、第 9 章 绩效评价</w:t>
      </w:r>
    </w:p>
    <w:p>
      <w:r>
        <w:t>八、第 10 章 改进</w:t>
      </w:r>
    </w:p>
    <w:p>
      <w:r>
        <w:t>九、典型整改案例</w:t>
      </w:r>
    </w:p>
    <w:p>
      <w:r>
        <w:t>十、预防措施建议</w:t>
      </w:r>
    </w:p>
    <w:p>
      <w:r>
        <w:br w:type="page"/>
      </w:r>
    </w:p>
    <w:p>
      <w:pPr>
        <w:pStyle w:val="Heading1"/>
      </w:pPr>
      <w:r>
        <w:t>一、概述</w:t>
      </w:r>
    </w:p>
    <w:p>
      <w:r>
        <w:t>本文档汇总了 2026 年 IATF 16949:2016 质量管理体系审核中的常见不符合项，并提供整改措施和案例。</w:t>
      </w:r>
    </w:p>
    <w:p>
      <w:pPr>
        <w:pStyle w:val="Heading2"/>
      </w:pPr>
      <w:r>
        <w:t>1.1 不符合项分布统计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6"/>
        <w:gridCol w:w="2076"/>
        <w:gridCol w:w="2076"/>
        <w:gridCol w:w="2076"/>
      </w:tblGrid>
      <w:tr>
        <w:tc>
          <w:tcPr>
            <w:tcW w:type="dxa" w:w="2076"/>
          </w:tcPr>
          <w:p>
            <w:r>
              <w:t>章节</w:t>
            </w:r>
          </w:p>
        </w:tc>
        <w:tc>
          <w:tcPr>
            <w:tcW w:type="dxa" w:w="2076"/>
          </w:tcPr>
          <w:p>
            <w:r>
              <w:t>条款</w:t>
            </w:r>
          </w:p>
        </w:tc>
        <w:tc>
          <w:tcPr>
            <w:tcW w:type="dxa" w:w="2076"/>
          </w:tcPr>
          <w:p>
            <w:r>
              <w:t>不符合项数量</w:t>
            </w:r>
          </w:p>
        </w:tc>
        <w:tc>
          <w:tcPr>
            <w:tcW w:type="dxa" w:w="2076"/>
          </w:tcPr>
          <w:p>
            <w:r>
              <w:t>占比</w:t>
            </w:r>
          </w:p>
        </w:tc>
      </w:tr>
      <w:tr>
        <w:tc>
          <w:tcPr>
            <w:tcW w:type="dxa" w:w="2076"/>
          </w:tcPr>
          <w:p>
            <w:r>
              <w:t>第 4 章</w:t>
            </w:r>
          </w:p>
        </w:tc>
        <w:tc>
          <w:tcPr>
            <w:tcW w:type="dxa" w:w="2076"/>
          </w:tcPr>
          <w:p>
            <w:r>
              <w:t>组织环境</w:t>
            </w:r>
          </w:p>
        </w:tc>
        <w:tc>
          <w:tcPr>
            <w:tcW w:type="dxa" w:w="2076"/>
          </w:tcPr>
          <w:p>
            <w:r>
              <w:t>12</w:t>
            </w:r>
          </w:p>
        </w:tc>
        <w:tc>
          <w:tcPr>
            <w:tcW w:type="dxa" w:w="2076"/>
          </w:tcPr>
          <w:p>
            <w:r>
              <w:t>5%</w:t>
            </w:r>
          </w:p>
        </w:tc>
      </w:tr>
      <w:tr>
        <w:tc>
          <w:tcPr>
            <w:tcW w:type="dxa" w:w="2076"/>
          </w:tcPr>
          <w:p>
            <w:r>
              <w:t>第 5 章</w:t>
            </w:r>
          </w:p>
        </w:tc>
        <w:tc>
          <w:tcPr>
            <w:tcW w:type="dxa" w:w="2076"/>
          </w:tcPr>
          <w:p>
            <w:r>
              <w:t>领导作用</w:t>
            </w:r>
          </w:p>
        </w:tc>
        <w:tc>
          <w:tcPr>
            <w:tcW w:type="dxa" w:w="2076"/>
          </w:tcPr>
          <w:p>
            <w:r>
              <w:t>18</w:t>
            </w:r>
          </w:p>
        </w:tc>
        <w:tc>
          <w:tcPr>
            <w:tcW w:type="dxa" w:w="2076"/>
          </w:tcPr>
          <w:p>
            <w:r>
              <w:t>7%</w:t>
            </w:r>
          </w:p>
        </w:tc>
      </w:tr>
      <w:tr>
        <w:tc>
          <w:tcPr>
            <w:tcW w:type="dxa" w:w="2076"/>
          </w:tcPr>
          <w:p>
            <w:r>
              <w:t>第 6 章</w:t>
            </w:r>
          </w:p>
        </w:tc>
        <w:tc>
          <w:tcPr>
            <w:tcW w:type="dxa" w:w="2076"/>
          </w:tcPr>
          <w:p>
            <w:r>
              <w:t>策划</w:t>
            </w:r>
          </w:p>
        </w:tc>
        <w:tc>
          <w:tcPr>
            <w:tcW w:type="dxa" w:w="2076"/>
          </w:tcPr>
          <w:p>
            <w:r>
              <w:t>25</w:t>
            </w:r>
          </w:p>
        </w:tc>
        <w:tc>
          <w:tcPr>
            <w:tcW w:type="dxa" w:w="2076"/>
          </w:tcPr>
          <w:p>
            <w:r>
              <w:t>10%</w:t>
            </w:r>
          </w:p>
        </w:tc>
      </w:tr>
      <w:tr>
        <w:tc>
          <w:tcPr>
            <w:tcW w:type="dxa" w:w="2076"/>
          </w:tcPr>
          <w:p>
            <w:r>
              <w:t>第 7 章</w:t>
            </w:r>
          </w:p>
        </w:tc>
        <w:tc>
          <w:tcPr>
            <w:tcW w:type="dxa" w:w="2076"/>
          </w:tcPr>
          <w:p>
            <w:r>
              <w:t>支持</w:t>
            </w:r>
          </w:p>
        </w:tc>
        <w:tc>
          <w:tcPr>
            <w:tcW w:type="dxa" w:w="2076"/>
          </w:tcPr>
          <w:p>
            <w:r>
              <w:t>45</w:t>
            </w:r>
          </w:p>
        </w:tc>
        <w:tc>
          <w:tcPr>
            <w:tcW w:type="dxa" w:w="2076"/>
          </w:tcPr>
          <w:p>
            <w:r>
              <w:t>18%</w:t>
            </w:r>
          </w:p>
        </w:tc>
      </w:tr>
      <w:tr>
        <w:tc>
          <w:tcPr>
            <w:tcW w:type="dxa" w:w="2076"/>
          </w:tcPr>
          <w:p>
            <w:r>
              <w:t>第 8 章</w:t>
            </w:r>
          </w:p>
        </w:tc>
        <w:tc>
          <w:tcPr>
            <w:tcW w:type="dxa" w:w="2076"/>
          </w:tcPr>
          <w:p>
            <w:r>
              <w:t>运行</w:t>
            </w:r>
          </w:p>
        </w:tc>
        <w:tc>
          <w:tcPr>
            <w:tcW w:type="dxa" w:w="2076"/>
          </w:tcPr>
          <w:p>
            <w:r>
              <w:t>98</w:t>
            </w:r>
          </w:p>
        </w:tc>
        <w:tc>
          <w:tcPr>
            <w:tcW w:type="dxa" w:w="2076"/>
          </w:tcPr>
          <w:p>
            <w:r>
              <w:t>40%</w:t>
            </w:r>
          </w:p>
        </w:tc>
      </w:tr>
      <w:tr>
        <w:tc>
          <w:tcPr>
            <w:tcW w:type="dxa" w:w="2076"/>
          </w:tcPr>
          <w:p>
            <w:r>
              <w:t>第 9 章</w:t>
            </w:r>
          </w:p>
        </w:tc>
        <w:tc>
          <w:tcPr>
            <w:tcW w:type="dxa" w:w="2076"/>
          </w:tcPr>
          <w:p>
            <w:r>
              <w:t>绩效评价</w:t>
            </w:r>
          </w:p>
        </w:tc>
        <w:tc>
          <w:tcPr>
            <w:tcW w:type="dxa" w:w="2076"/>
          </w:tcPr>
          <w:p>
            <w:r>
              <w:t>35</w:t>
            </w:r>
          </w:p>
        </w:tc>
        <w:tc>
          <w:tcPr>
            <w:tcW w:type="dxa" w:w="2076"/>
          </w:tcPr>
          <w:p>
            <w:r>
              <w:t>14%</w:t>
            </w:r>
          </w:p>
        </w:tc>
      </w:tr>
      <w:tr>
        <w:tc>
          <w:tcPr>
            <w:tcW w:type="dxa" w:w="2076"/>
          </w:tcPr>
          <w:p>
            <w:r>
              <w:t>第 10 章</w:t>
            </w:r>
          </w:p>
        </w:tc>
        <w:tc>
          <w:tcPr>
            <w:tcW w:type="dxa" w:w="2076"/>
          </w:tcPr>
          <w:p>
            <w:r>
              <w:t>改进</w:t>
            </w:r>
          </w:p>
        </w:tc>
        <w:tc>
          <w:tcPr>
            <w:tcW w:type="dxa" w:w="2076"/>
          </w:tcPr>
          <w:p>
            <w:r>
              <w:t>15</w:t>
            </w:r>
          </w:p>
        </w:tc>
        <w:tc>
          <w:tcPr>
            <w:tcW w:type="dxa" w:w="2076"/>
          </w:tcPr>
          <w:p>
            <w:r>
              <w:t>6%</w:t>
            </w:r>
          </w:p>
        </w:tc>
      </w:tr>
      <w:tr>
        <w:tc>
          <w:tcPr>
            <w:tcW w:type="dxa" w:w="2076"/>
          </w:tcPr>
          <w:p>
            <w:r>
              <w:t>合计</w:t>
            </w:r>
          </w:p>
        </w:tc>
        <w:tc>
          <w:tcPr>
            <w:tcW w:type="dxa" w:w="2076"/>
          </w:tcPr>
          <w:p>
            <w:r/>
          </w:p>
        </w:tc>
        <w:tc>
          <w:tcPr>
            <w:tcW w:type="dxa" w:w="2076"/>
          </w:tcPr>
          <w:p>
            <w:r>
              <w:t>248</w:t>
            </w:r>
          </w:p>
        </w:tc>
        <w:tc>
          <w:tcPr>
            <w:tcW w:type="dxa" w:w="2076"/>
          </w:tcPr>
          <w:p>
            <w:r>
              <w:t>100%</w:t>
            </w:r>
          </w:p>
        </w:tc>
      </w:tr>
    </w:tbl>
    <w:p/>
    <w:p>
      <w:pPr>
        <w:pStyle w:val="Heading1"/>
      </w:pPr>
      <w:r>
        <w:t>二、第 4 章 组织环境 - 常见不符合项</w:t>
      </w:r>
    </w:p>
    <w:p>
      <w:pPr>
        <w:pStyle w:val="Heading2"/>
      </w:pPr>
      <w:r>
        <w:t>不符合项 4-01：组织环境分析不充分</w:t>
      </w:r>
    </w:p>
    <w:p>
      <w:r>
        <w:t>【不符合事实】组织未能充分确定影响质量管理体系的内外部因素。</w:t>
      </w:r>
    </w:p>
    <w:p>
      <w:r>
        <w:t>【不符合条款】IATF 16949:2016 第 4.1 条</w:t>
      </w:r>
    </w:p>
    <w:p>
      <w:r>
        <w:t>【整改措施】</w:t>
      </w:r>
    </w:p>
    <w:p>
      <w:pPr>
        <w:pStyle w:val="ListBullet"/>
      </w:pPr>
      <w:r>
        <w:t>1. 重新进行 SWOT 分析</w:t>
      </w:r>
    </w:p>
    <w:p>
      <w:pPr>
        <w:pStyle w:val="ListBullet"/>
      </w:pPr>
      <w:r>
        <w:t>2. 建立环境因素监视机制</w:t>
      </w:r>
    </w:p>
    <w:p>
      <w:pPr>
        <w:pStyle w:val="ListBullet"/>
      </w:pPr>
      <w:r>
        <w:t>3. 将分析结果输入管理评审</w:t>
      </w:r>
    </w:p>
    <w:p>
      <w:pPr>
        <w:pStyle w:val="Heading2"/>
      </w:pPr>
      <w:r>
        <w:t>不符合项 4-02：相关方要求识别不全</w:t>
      </w:r>
    </w:p>
    <w:p>
      <w:r>
        <w:t>【不符合事实】未识别所有相关方的要求，仅关注客户要求。</w:t>
      </w:r>
    </w:p>
    <w:p>
      <w:r>
        <w:t>【不符合条款】IATF 16949:2016 第 4.2 条</w:t>
      </w:r>
    </w:p>
    <w:p>
      <w:r>
        <w:t>【整改措施】建立相关方清单，定期评审要求变化。</w:t>
      </w:r>
    </w:p>
    <w:p/>
    <w:p>
      <w:pPr>
        <w:pStyle w:val="Heading1"/>
      </w:pPr>
      <w:r>
        <w:t>三、第 5 章 领导作用 - 常见不符合项</w:t>
      </w:r>
    </w:p>
    <w:p>
      <w:pPr>
        <w:pStyle w:val="Heading2"/>
      </w:pPr>
      <w:r>
        <w:t>不符合项 5-01：质量方针未沟通</w:t>
      </w:r>
    </w:p>
    <w:p>
      <w:r>
        <w:t>【不符合事实】质量方针未有效沟通到全体员工。</w:t>
      </w:r>
    </w:p>
    <w:p>
      <w:r>
        <w:t>【不符合条款】IATF 16949:2016 第 5.2 条</w:t>
      </w:r>
    </w:p>
    <w:p>
      <w:r>
        <w:t>【整改措施】通过培训、看板宣贯，纳入新员工培训。</w:t>
      </w:r>
    </w:p>
    <w:p>
      <w:pPr>
        <w:pStyle w:val="Heading2"/>
      </w:pPr>
      <w:r>
        <w:t>不符合项 5-02：岗位职责不明确</w:t>
      </w:r>
    </w:p>
    <w:p>
      <w:r>
        <w:t>【不符合事实】关键岗位职责和权限未明确规定。</w:t>
      </w:r>
    </w:p>
    <w:p>
      <w:r>
        <w:t>【不符合条款】IATF 16949:2016 第 5.3 条</w:t>
      </w:r>
    </w:p>
    <w:p>
      <w:r>
        <w:t>【整改措施】编制岗位说明书，与岗位人员沟通确认。</w:t>
      </w:r>
    </w:p>
    <w:p/>
    <w:p>
      <w:pPr>
        <w:pStyle w:val="Heading1"/>
      </w:pPr>
      <w:r>
        <w:t>四、第 6 章 策划 - 常见不符合项</w:t>
      </w:r>
    </w:p>
    <w:p>
      <w:pPr>
        <w:pStyle w:val="Heading2"/>
      </w:pPr>
      <w:r>
        <w:t>不符合项 6-01：风险机遇管理流于形式</w:t>
      </w:r>
    </w:p>
    <w:p>
      <w:r>
        <w:t>【不符合事实】风险识别不充分，措施不具体。</w:t>
      </w:r>
    </w:p>
    <w:p>
      <w:r>
        <w:t>【不符合条款】IATF 16949:2016 第 6.1 条</w:t>
      </w:r>
    </w:p>
    <w:p>
      <w:r>
        <w:t>【整改措施】使用 FMEA 工具，制定具体应对措施。</w:t>
      </w:r>
    </w:p>
    <w:p>
      <w:pPr>
        <w:pStyle w:val="Heading2"/>
      </w:pPr>
      <w:r>
        <w:t>不符合项 6-02：质量目标不可测量</w:t>
      </w:r>
    </w:p>
    <w:p>
      <w:r>
        <w:t>【不符合事实】质量目标定性描述多，无法测量。</w:t>
      </w:r>
    </w:p>
    <w:p>
      <w:r>
        <w:t>【不符合条款】IATF 16949:2016 第 6.2 条</w:t>
      </w:r>
    </w:p>
    <w:p>
      <w:r>
        <w:t>【整改措施】目标 SMART 化，定期统计完成情况。</w:t>
      </w:r>
    </w:p>
    <w:p/>
    <w:p>
      <w:pPr>
        <w:pStyle w:val="Heading1"/>
      </w:pPr>
      <w:r>
        <w:t>五、第 7 章 支持 - 常见不符合项</w:t>
      </w:r>
    </w:p>
    <w:p>
      <w:pPr>
        <w:pStyle w:val="Heading2"/>
      </w:pPr>
      <w:r>
        <w:t>不符合项 7-01：培训效果未评估</w:t>
      </w:r>
    </w:p>
    <w:p>
      <w:r>
        <w:t>【不符合事实】培训后未评估效果，仅记录签到。</w:t>
      </w:r>
    </w:p>
    <w:p>
      <w:r>
        <w:t>【不符合条款】IATF 16949:2016 第 7.2 条</w:t>
      </w:r>
    </w:p>
    <w:p>
      <w:r>
        <w:t>【整改措施】培训后考试或实操考核，跟踪工作表现。</w:t>
      </w:r>
    </w:p>
    <w:p>
      <w:pPr>
        <w:pStyle w:val="Heading2"/>
      </w:pPr>
      <w:r>
        <w:t>不符合项 7-02：测量设备未校准</w:t>
      </w:r>
    </w:p>
    <w:p>
      <w:r>
        <w:t>【不符合事实】测量设备超过校准有效期仍在使用。</w:t>
      </w:r>
    </w:p>
    <w:p>
      <w:r>
        <w:t>【不符合条款】IATF 16949:2016 第 7.1.5 条</w:t>
      </w:r>
    </w:p>
    <w:p>
      <w:r>
        <w:t>【整改措施】建立台账，设置到期提醒，超期停用。</w:t>
      </w:r>
    </w:p>
    <w:p>
      <w:pPr>
        <w:pStyle w:val="Heading2"/>
      </w:pPr>
      <w:r>
        <w:t>不符合项 7-03：文件版本失控</w:t>
      </w:r>
    </w:p>
    <w:p>
      <w:r>
        <w:t>【不符合事实】现场使用作废版本作业指导书。</w:t>
      </w:r>
    </w:p>
    <w:p>
      <w:r>
        <w:t>【不符合条款】IATF 16949:2016 第 7.5 条</w:t>
      </w:r>
    </w:p>
    <w:p>
      <w:r>
        <w:t>【整改措施】清理现场文件，回收作废版本，受控管理。</w:t>
      </w:r>
    </w:p>
    <w:p/>
    <w:p>
      <w:pPr>
        <w:pStyle w:val="Heading1"/>
      </w:pPr>
      <w:r>
        <w:t>六、第 8 章 运行 - 常见不符合项</w:t>
      </w:r>
    </w:p>
    <w:p>
      <w:pPr>
        <w:pStyle w:val="Heading2"/>
      </w:pPr>
      <w:r>
        <w:t>不符合项 8-01：供应商未评价</w:t>
      </w:r>
    </w:p>
    <w:p>
      <w:r>
        <w:t>【不符合事实】关键供应商未经过评价即采购。</w:t>
      </w:r>
    </w:p>
    <w:p>
      <w:r>
        <w:t>【不符合条款】IATF 16949:2016 第 8.4 条</w:t>
      </w:r>
    </w:p>
    <w:p>
      <w:r>
        <w:t>【整改措施】建立评价准则，每年再评价，监控绩效。</w:t>
      </w:r>
    </w:p>
    <w:p>
      <w:pPr>
        <w:pStyle w:val="Heading2"/>
      </w:pPr>
      <w:r>
        <w:t>不符合项 8-02：首件检验未执行</w:t>
      </w:r>
    </w:p>
    <w:p>
      <w:r>
        <w:t>【不符合事实】换班、换模后未进行首件检验。</w:t>
      </w:r>
    </w:p>
    <w:p>
      <w:r>
        <w:t>【不符合条款】IATF 16949:2016 第 8.5.1 条</w:t>
      </w:r>
    </w:p>
    <w:p>
      <w:r>
        <w:t>【整改措施】规定首件检验时机，合格后方可批量生产。</w:t>
      </w:r>
    </w:p>
    <w:p>
      <w:pPr>
        <w:pStyle w:val="Heading2"/>
      </w:pPr>
      <w:r>
        <w:t>不符合项 8-03：不合格品未标识隔离</w:t>
      </w:r>
    </w:p>
    <w:p>
      <w:r>
        <w:t>【不符合事实】不合格品与合格品混放。</w:t>
      </w:r>
    </w:p>
    <w:p>
      <w:r>
        <w:t>【不符合条款】IATF 16949:2016 第 8.7 条</w:t>
      </w:r>
    </w:p>
    <w:p>
      <w:r>
        <w:t>【整改措施】设置不合格品专区，红色标识，及时隔离。</w:t>
      </w:r>
    </w:p>
    <w:p>
      <w:pPr>
        <w:pStyle w:val="Heading2"/>
      </w:pPr>
      <w:r>
        <w:t>不符合项 8-04：追溯性管理不到位</w:t>
      </w:r>
    </w:p>
    <w:p>
      <w:r>
        <w:t>【不符合事实】批次管理混乱，无法追溯。</w:t>
      </w:r>
    </w:p>
    <w:p>
      <w:r>
        <w:t>【不符合条款】IATF 16949:2016 第 8.5.2 条</w:t>
      </w:r>
    </w:p>
    <w:p>
      <w:r>
        <w:t>【整改措施】建立批次管理制度，记录原材料和生产信息。</w:t>
      </w:r>
    </w:p>
    <w:p>
      <w:pPr>
        <w:pStyle w:val="Heading2"/>
      </w:pPr>
      <w:r>
        <w:t>不符合项 8-05：控制计划未执行</w:t>
      </w:r>
    </w:p>
    <w:p>
      <w:r>
        <w:t>【不符合事实】控制计划规定的检验频次未执行。</w:t>
      </w:r>
    </w:p>
    <w:p>
      <w:r>
        <w:t>【不符合条款】IATF 16949:2016 第 8.5.1.1 条</w:t>
      </w:r>
    </w:p>
    <w:p>
      <w:r>
        <w:t>【整改措施】按计划执行检验，定期评审有效性。</w:t>
      </w:r>
    </w:p>
    <w:p/>
    <w:p>
      <w:pPr>
        <w:pStyle w:val="Heading1"/>
      </w:pPr>
      <w:r>
        <w:t>七、第 9 章 绩效评价 - 常见不符合项</w:t>
      </w:r>
    </w:p>
    <w:p>
      <w:pPr>
        <w:pStyle w:val="Heading2"/>
      </w:pPr>
      <w:r>
        <w:t>不符合项 9-01：内审覆盖不全</w:t>
      </w:r>
    </w:p>
    <w:p>
      <w:r>
        <w:t>【不符合事实】年度内审未覆盖所有部门。</w:t>
      </w:r>
    </w:p>
    <w:p>
      <w:r>
        <w:t>【不符合条款】IATF 16949:2016 第 9.2 条</w:t>
      </w:r>
    </w:p>
    <w:p>
      <w:r>
        <w:t>【整改措施】制定年度计划，审核员独立于被审核区。</w:t>
      </w:r>
    </w:p>
    <w:p>
      <w:pPr>
        <w:pStyle w:val="Heading2"/>
      </w:pPr>
      <w:r>
        <w:t>不符合项 9-02：管理评审输入不全</w:t>
      </w:r>
    </w:p>
    <w:p>
      <w:r>
        <w:t>【不符合事实】缺少客户反馈、过程绩效等输入。</w:t>
      </w:r>
    </w:p>
    <w:p>
      <w:r>
        <w:t>【不符合条款】IATF 16949:2016 第 9.3 条</w:t>
      </w:r>
    </w:p>
    <w:p>
      <w:r>
        <w:t>【整改措施】按标准准备完整输入，输出改进决策。</w:t>
      </w:r>
    </w:p>
    <w:p>
      <w:pPr>
        <w:pStyle w:val="Heading2"/>
      </w:pPr>
      <w:r>
        <w:t>不符合项 9-03：客户满意度未监视</w:t>
      </w:r>
    </w:p>
    <w:p>
      <w:r>
        <w:t>【不符合事实】未进行客户满意度调查。</w:t>
      </w:r>
    </w:p>
    <w:p>
      <w:r>
        <w:t>【不符合条款】IATF 16949:2016 第 9.1.2 条</w:t>
      </w:r>
    </w:p>
    <w:p>
      <w:r>
        <w:t>【整改措施】每年调查，分析结果，采取改进措施。</w:t>
      </w:r>
    </w:p>
    <w:p/>
    <w:p>
      <w:pPr>
        <w:pStyle w:val="Heading1"/>
      </w:pPr>
      <w:r>
        <w:t>八、第 10 章 改进 - 常见不符合项</w:t>
      </w:r>
    </w:p>
    <w:p>
      <w:pPr>
        <w:pStyle w:val="Heading2"/>
      </w:pPr>
      <w:r>
        <w:t>不符合项 10-01：纠正措施未验证</w:t>
      </w:r>
    </w:p>
    <w:p>
      <w:r>
        <w:t>【不符合事实】纠正措施实施后未验证效果。</w:t>
      </w:r>
    </w:p>
    <w:p>
      <w:r>
        <w:t>【不符合条款】IATF 16949:2016 第 10.2 条</w:t>
      </w:r>
    </w:p>
    <w:p>
      <w:r>
        <w:t>【整改措施】验证效果，跟踪确认，有效措施标准化。</w:t>
      </w:r>
    </w:p>
    <w:p>
      <w:pPr>
        <w:pStyle w:val="Heading2"/>
      </w:pPr>
      <w:r>
        <w:t>不符合项 10-02：根本原因分析不深入</w:t>
      </w:r>
    </w:p>
    <w:p>
      <w:r>
        <w:t>【不符合事实】问题分析停留在表面。</w:t>
      </w:r>
    </w:p>
    <w:p>
      <w:r>
        <w:t>【不符合条款】IATF 16949:2016 第 10.2 条</w:t>
      </w:r>
    </w:p>
    <w:p>
      <w:r>
        <w:t>【整改措施】使用 5Why、鱼骨图分析根本原因。</w:t>
      </w:r>
    </w:p>
    <w:p>
      <w:pPr>
        <w:pStyle w:val="Heading2"/>
      </w:pPr>
      <w:r>
        <w:t>不符合项 10-03：持续改进未实施</w:t>
      </w:r>
    </w:p>
    <w:p>
      <w:r>
        <w:t>【不符合事实】无持续改进项目。</w:t>
      </w:r>
    </w:p>
    <w:p>
      <w:r>
        <w:t>【不符合条款】IATF 16949:2016 第 10.3 条</w:t>
      </w:r>
    </w:p>
    <w:p>
      <w:r>
        <w:t>【整改措施】制定改进计划，使用 QC 小组方法。</w:t>
      </w:r>
    </w:p>
    <w:p>
      <w:r>
        <w:br w:type="page"/>
      </w:r>
    </w:p>
    <w:p>
      <w:pPr>
        <w:pStyle w:val="Heading1"/>
      </w:pPr>
      <w:r>
        <w:t>九、典型整改案例</w:t>
      </w:r>
    </w:p>
    <w:p>
      <w:pPr>
        <w:pStyle w:val="Heading2"/>
      </w:pPr>
      <w:r>
        <w:t>案例 1：供应商质量问题整改</w:t>
      </w:r>
    </w:p>
    <w:p>
      <w:r>
        <w:t>【问题描述】某供应商来料连续 3 批不合格，导致生产线停工。</w:t>
      </w:r>
    </w:p>
    <w:p>
      <w:r>
        <w:t>【原因分析】</w:t>
      </w:r>
    </w:p>
    <w:p>
      <w:pPr>
        <w:pStyle w:val="ListBullet"/>
      </w:pPr>
      <w:r>
        <w:t>1. 供应商评价不充分</w:t>
      </w:r>
    </w:p>
    <w:p>
      <w:pPr>
        <w:pStyle w:val="ListBullet"/>
      </w:pPr>
      <w:r>
        <w:t>2. 未定期监督再评价</w:t>
      </w:r>
    </w:p>
    <w:p>
      <w:pPr>
        <w:pStyle w:val="ListBullet"/>
      </w:pPr>
      <w:r>
        <w:t>3. 来料检验标准不明确</w:t>
      </w:r>
    </w:p>
    <w:p>
      <w:r>
        <w:t>【整改措施】现场审核供应商，修订检验标准，建立绩效监控。</w:t>
      </w:r>
    </w:p>
    <w:p>
      <w:r>
        <w:t>【整改效果】来料合格率从 85% 提升至 98%。</w:t>
      </w:r>
    </w:p>
    <w:p>
      <w:pPr>
        <w:pStyle w:val="Heading2"/>
      </w:pPr>
      <w:r>
        <w:t>案例 2：不合格品混料整改</w:t>
      </w:r>
    </w:p>
    <w:p>
      <w:r>
        <w:t>【问题描述】客户投诉收到不合格品，调查发现混放导致误发。</w:t>
      </w:r>
    </w:p>
    <w:p>
      <w:r>
        <w:t>【原因分析】不合格品未专区存放，标识不清。</w:t>
      </w:r>
    </w:p>
    <w:p>
      <w:r>
        <w:t>【整改措施】设置红色专区上锁管理，立即贴标签，培训员工。</w:t>
      </w:r>
    </w:p>
    <w:p>
      <w:r>
        <w:t>【整改效果】未再发生不合格品误发。</w:t>
      </w:r>
    </w:p>
    <w:p>
      <w:pPr>
        <w:pStyle w:val="Heading2"/>
      </w:pPr>
      <w:r>
        <w:t>案例 3：测量设备超期整改</w:t>
      </w:r>
    </w:p>
    <w:p>
      <w:r>
        <w:t>【问题描述】5 把游标卡尺超校准有效期仍在使用。</w:t>
      </w:r>
    </w:p>
    <w:p>
      <w:r>
        <w:t>【原因分析】台账未更新，无提醒机制。</w:t>
      </w:r>
    </w:p>
    <w:p>
      <w:r>
        <w:t>【整改措施】建立台账，设置提前 30 天提醒，贴状态标签。</w:t>
      </w:r>
    </w:p>
    <w:p>
      <w:r>
        <w:t>【整改效果】校准及时率 100%。</w:t>
      </w:r>
    </w:p>
    <w:p/>
    <w:p>
      <w:pPr>
        <w:pStyle w:val="Heading1"/>
      </w:pPr>
      <w:r>
        <w:t>十、预防措施建议</w:t>
      </w:r>
    </w:p>
    <w:p>
      <w:pPr>
        <w:pStyle w:val="Heading2"/>
      </w:pPr>
      <w:r>
        <w:t>10.1 体系运行建议</w:t>
      </w:r>
    </w:p>
    <w:p>
      <w:pPr>
        <w:pStyle w:val="ListBullet"/>
      </w:pPr>
      <w:r>
        <w:t>1. 领导重视：最高管理者亲自参与</w:t>
      </w:r>
    </w:p>
    <w:p>
      <w:pPr>
        <w:pStyle w:val="ListBullet"/>
      </w:pPr>
      <w:r>
        <w:t>2. 全员参与：加强培训</w:t>
      </w:r>
    </w:p>
    <w:p>
      <w:pPr>
        <w:pStyle w:val="ListBullet"/>
      </w:pPr>
      <w:r>
        <w:t>3. 过程方法：识别过程</w:t>
      </w:r>
    </w:p>
    <w:p>
      <w:pPr>
        <w:pStyle w:val="ListBullet"/>
      </w:pPr>
      <w:r>
        <w:t>4. 持续改进：定期评审</w:t>
      </w:r>
    </w:p>
    <w:p>
      <w:pPr>
        <w:pStyle w:val="Heading2"/>
      </w:pPr>
      <w:r>
        <w:t>10.2 常见风险点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69"/>
        <w:gridCol w:w="2769"/>
        <w:gridCol w:w="2769"/>
      </w:tblGrid>
      <w:tr>
        <w:tc>
          <w:tcPr>
            <w:tcW w:type="dxa" w:w="2769"/>
          </w:tcPr>
          <w:p>
            <w:r>
              <w:t>风险领域</w:t>
            </w:r>
          </w:p>
        </w:tc>
        <w:tc>
          <w:tcPr>
            <w:tcW w:type="dxa" w:w="2769"/>
          </w:tcPr>
          <w:p>
            <w:r>
              <w:t>常见问题</w:t>
            </w:r>
          </w:p>
        </w:tc>
        <w:tc>
          <w:tcPr>
            <w:tcW w:type="dxa" w:w="2769"/>
          </w:tcPr>
          <w:p>
            <w:r>
              <w:t>预防方法</w:t>
            </w:r>
          </w:p>
        </w:tc>
      </w:tr>
      <w:tr>
        <w:tc>
          <w:tcPr>
            <w:tcW w:type="dxa" w:w="2769"/>
          </w:tcPr>
          <w:p>
            <w:r>
              <w:t>文件控制</w:t>
            </w:r>
          </w:p>
        </w:tc>
        <w:tc>
          <w:tcPr>
            <w:tcW w:type="dxa" w:w="2769"/>
          </w:tcPr>
          <w:p>
            <w:r>
              <w:t>使用作废文件</w:t>
            </w:r>
          </w:p>
        </w:tc>
        <w:tc>
          <w:tcPr>
            <w:tcW w:type="dxa" w:w="2769"/>
          </w:tcPr>
          <w:p>
            <w:r>
              <w:t>定期清理，受控管理</w:t>
            </w:r>
          </w:p>
        </w:tc>
      </w:tr>
      <w:tr>
        <w:tc>
          <w:tcPr>
            <w:tcW w:type="dxa" w:w="2769"/>
          </w:tcPr>
          <w:p>
            <w:r>
              <w:t>记录管理</w:t>
            </w:r>
          </w:p>
        </w:tc>
        <w:tc>
          <w:tcPr>
            <w:tcW w:type="dxa" w:w="2769"/>
          </w:tcPr>
          <w:p>
            <w:r>
              <w:t>记录不完整</w:t>
            </w:r>
          </w:p>
        </w:tc>
        <w:tc>
          <w:tcPr>
            <w:tcW w:type="dxa" w:w="2769"/>
          </w:tcPr>
          <w:p>
            <w:r>
              <w:t>及时填写，定期审查</w:t>
            </w:r>
          </w:p>
        </w:tc>
      </w:tr>
      <w:tr>
        <w:tc>
          <w:tcPr>
            <w:tcW w:type="dxa" w:w="2769"/>
          </w:tcPr>
          <w:p>
            <w:r>
              <w:t>供应商管理</w:t>
            </w:r>
          </w:p>
        </w:tc>
        <w:tc>
          <w:tcPr>
            <w:tcW w:type="dxa" w:w="2769"/>
          </w:tcPr>
          <w:p>
            <w:r>
              <w:t>未评价/超期</w:t>
            </w:r>
          </w:p>
        </w:tc>
        <w:tc>
          <w:tcPr>
            <w:tcW w:type="dxa" w:w="2769"/>
          </w:tcPr>
          <w:p>
            <w:r>
              <w:t>建立评价机制</w:t>
            </w:r>
          </w:p>
        </w:tc>
      </w:tr>
      <w:tr>
        <w:tc>
          <w:tcPr>
            <w:tcW w:type="dxa" w:w="2769"/>
          </w:tcPr>
          <w:p>
            <w:r>
              <w:t>生产过程</w:t>
            </w:r>
          </w:p>
        </w:tc>
        <w:tc>
          <w:tcPr>
            <w:tcW w:type="dxa" w:w="2769"/>
          </w:tcPr>
          <w:p>
            <w:r>
              <w:t>未按工艺执行</w:t>
            </w:r>
          </w:p>
        </w:tc>
        <w:tc>
          <w:tcPr>
            <w:tcW w:type="dxa" w:w="2769"/>
          </w:tcPr>
          <w:p>
            <w:r>
              <w:t>加强巡检</w:t>
            </w:r>
          </w:p>
        </w:tc>
      </w:tr>
      <w:tr>
        <w:tc>
          <w:tcPr>
            <w:tcW w:type="dxa" w:w="2769"/>
          </w:tcPr>
          <w:p>
            <w:r>
              <w:t>测量设备</w:t>
            </w:r>
          </w:p>
        </w:tc>
        <w:tc>
          <w:tcPr>
            <w:tcW w:type="dxa" w:w="2769"/>
          </w:tcPr>
          <w:p>
            <w:r>
              <w:t>超期未校准</w:t>
            </w:r>
          </w:p>
        </w:tc>
        <w:tc>
          <w:tcPr>
            <w:tcW w:type="dxa" w:w="2769"/>
          </w:tcPr>
          <w:p>
            <w:r>
              <w:t>建立台账，设置提醒</w:t>
            </w:r>
          </w:p>
        </w:tc>
      </w:tr>
      <w:tr>
        <w:tc>
          <w:tcPr>
            <w:tcW w:type="dxa" w:w="2769"/>
          </w:tcPr>
          <w:p>
            <w:r>
              <w:t>不合格品</w:t>
            </w:r>
          </w:p>
        </w:tc>
        <w:tc>
          <w:tcPr>
            <w:tcW w:type="dxa" w:w="2769"/>
          </w:tcPr>
          <w:p>
            <w:r>
              <w:t>混料误发</w:t>
            </w:r>
          </w:p>
        </w:tc>
        <w:tc>
          <w:tcPr>
            <w:tcW w:type="dxa" w:w="2769"/>
          </w:tcPr>
          <w:p>
            <w:r>
              <w:t>专区存放，明确标识</w:t>
            </w:r>
          </w:p>
        </w:tc>
      </w:tr>
    </w:tbl>
    <w:p/>
    <w:p>
      <w:r>
        <w:t>编制：_______________    审核：_______________    批准：_______________</w:t>
      </w:r>
    </w:p>
    <w:p/>
    <w:p>
      <w:pPr>
        <w:jc w:val="center"/>
      </w:pPr>
      <w:r>
        <w:rPr>
          <w:i/>
          <w:sz w:val="18"/>
        </w:rPr>
        <w:t>本文件为受控文件，未经许可不得复制或外传</w:t>
      </w:r>
    </w:p>
    <w:sectPr w:rsidR="00FC693F" w:rsidRPr="0006063C" w:rsidSect="0003461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